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81" w:rsidRPr="00104E75" w:rsidRDefault="00B63D8C">
      <w:pPr>
        <w:rPr>
          <w:b/>
        </w:rPr>
      </w:pPr>
      <w:r w:rsidRPr="00104E75">
        <w:rPr>
          <w:b/>
        </w:rPr>
        <w:t xml:space="preserve">Dia </w:t>
      </w:r>
      <w:r w:rsidR="00751FE6">
        <w:rPr>
          <w:b/>
        </w:rPr>
        <w:t>7</w:t>
      </w:r>
    </w:p>
    <w:p w:rsidR="00B63D8C" w:rsidRDefault="00B63D8C">
      <w:r>
        <w:t xml:space="preserve">De 6.500.000 vertegenwoordigd een huidige waarde van 100.000.000 euro. </w:t>
      </w:r>
    </w:p>
    <w:p w:rsidR="00B63D8C" w:rsidRDefault="00B63D8C">
      <w:r>
        <w:t>Bijzonder is dat dit startkapitaal is ingelegd zonder dat er echt bewezen succes was. Ook was bij de inschrijvingen nog volstrekt onduidelijk wat de VOC met het geld zou doen. Wel dat er schepen aangeschaft zouden worden, maar niet hoeveel en op welke termijn ze zouden uitvaren. De VOC had ook nog geen vastomlijnd beleid opgesteld.</w:t>
      </w:r>
      <w:r>
        <w:rPr>
          <w:rStyle w:val="Voetnootmarkering"/>
        </w:rPr>
        <w:footnoteReference w:id="1"/>
      </w:r>
    </w:p>
    <w:p w:rsidR="00104E75" w:rsidRDefault="00104E75">
      <w:r>
        <w:t xml:space="preserve">In beginsel werd afgesproken dat de VOC 21 jaar zou bestaan en daarna opgeheven zou worden. Dit vonden de bewindhebbers wel erg lang. Daarom werd besloten dat na 10 jaar een mogelijkheid zou zijn om de eventuele winst door de VOC uit te laten keren. Tussentijds mochten aandelen wel verhandeld worden. </w:t>
      </w:r>
    </w:p>
    <w:p w:rsidR="00EE62C1" w:rsidRDefault="00EE62C1">
      <w:pPr>
        <w:rPr>
          <w:b/>
        </w:rPr>
      </w:pPr>
      <w:r>
        <w:rPr>
          <w:b/>
        </w:rPr>
        <w:t xml:space="preserve">Dia </w:t>
      </w:r>
      <w:r w:rsidR="00751FE6">
        <w:rPr>
          <w:b/>
        </w:rPr>
        <w:t>7</w:t>
      </w:r>
      <w:r>
        <w:rPr>
          <w:rStyle w:val="Voetnootmarkering"/>
          <w:b/>
        </w:rPr>
        <w:footnoteReference w:id="2"/>
      </w:r>
    </w:p>
    <w:p w:rsidR="00EE62C1" w:rsidRPr="00EE62C1" w:rsidRDefault="00EE62C1">
      <w:pPr>
        <w:rPr>
          <w:b/>
        </w:rPr>
      </w:pPr>
      <w:r w:rsidRPr="00EE62C1">
        <w:rPr>
          <w:b/>
        </w:rPr>
        <w:t xml:space="preserve">Dia </w:t>
      </w:r>
      <w:r w:rsidR="00751FE6">
        <w:rPr>
          <w:b/>
        </w:rPr>
        <w:t>8</w:t>
      </w:r>
      <w:r>
        <w:rPr>
          <w:b/>
        </w:rPr>
        <w:t xml:space="preserve"> en </w:t>
      </w:r>
      <w:r w:rsidR="00751FE6">
        <w:rPr>
          <w:b/>
        </w:rPr>
        <w:t>9</w:t>
      </w:r>
    </w:p>
    <w:p w:rsidR="00EE62C1" w:rsidRDefault="00EE62C1">
      <w:r>
        <w:t>Alhoewel de VOC aangaf de foelie niet tegen lagere prijzen te verkopen bleef wel het risico bestaan dat er meer aanbod dan vraag zou zijn, waardoor de winstmarges beperkt waren. L’empereur had er wel voor kunnen kiezen de foelie via De Velaer door te laten verschepen naar steden in Midden- en Zuid-Europa. De Velaer stelde dit ook voor, omdat hij als koopman van een internationaal familienetwerk veel contacten had en wist wanneer welke handelsschepen zouden vertrekken. Toch koos L’empereur er voor niet de dividend in foelie op te strijken.</w:t>
      </w:r>
      <w:r>
        <w:rPr>
          <w:rStyle w:val="Voetnootmarkering"/>
        </w:rPr>
        <w:footnoteReference w:id="3"/>
      </w:r>
    </w:p>
    <w:p w:rsidR="00667B67" w:rsidRDefault="00667B67">
      <w:pPr>
        <w:rPr>
          <w:b/>
        </w:rPr>
      </w:pPr>
      <w:r>
        <w:rPr>
          <w:b/>
        </w:rPr>
        <w:t xml:space="preserve">Dia </w:t>
      </w:r>
      <w:r w:rsidR="00751FE6">
        <w:rPr>
          <w:b/>
        </w:rPr>
        <w:t>10</w:t>
      </w:r>
    </w:p>
    <w:p w:rsidR="00667B67" w:rsidRDefault="00667B67">
      <w:r>
        <w:t>De 42 zuilen die de overkapping droegen, waren genummerd en deden dienst als ontmoetingsplek. Zo was er een zuil waar de handelaren in zout elkaar troffen, een zuil voor de handel in huiden en helemaal achter in de beurs was een zuil waar aandelen verhandeld werden..</w:t>
      </w:r>
    </w:p>
    <w:p w:rsidR="00667B67" w:rsidRDefault="00667B67">
      <w:r>
        <w:t>De beurs had zeer beperkte openingstijden: iedere ochtend behalve zondag van 11:00 tot 12:00. Van mei tot augustus was de beurs ook ’s avonds een uur open, van 18:30 tot 19:30. In de wintermaanden ging de beurs het laatste halfuur voor het luiden van de bel van de stadspoorten open.</w:t>
      </w:r>
    </w:p>
    <w:p w:rsidR="00667B67" w:rsidRDefault="00667B67">
      <w:r>
        <w:t>Doel van deze beperkte openingstijden: zoveel mogelijk handelaren tegelijk op één plek krijgen.</w:t>
      </w:r>
      <w:r w:rsidR="00F64F47">
        <w:rPr>
          <w:rStyle w:val="Voetnootmarkering"/>
        </w:rPr>
        <w:footnoteReference w:id="4"/>
      </w:r>
      <w:r>
        <w:t xml:space="preserve"> </w:t>
      </w:r>
    </w:p>
    <w:p w:rsidR="0093038E" w:rsidRPr="00751FE6" w:rsidRDefault="00751FE6">
      <w:pPr>
        <w:rPr>
          <w:b/>
        </w:rPr>
      </w:pPr>
      <w:r w:rsidRPr="00751FE6">
        <w:rPr>
          <w:b/>
        </w:rPr>
        <w:t>Dia 1</w:t>
      </w:r>
      <w:r w:rsidR="00A92C80">
        <w:rPr>
          <w:b/>
        </w:rPr>
        <w:t>1,12 en 13</w:t>
      </w:r>
      <w:r w:rsidR="00A92C80">
        <w:rPr>
          <w:rStyle w:val="Voetnootmarkering"/>
          <w:b/>
        </w:rPr>
        <w:footnoteReference w:id="5"/>
      </w:r>
      <w:r w:rsidRPr="00751FE6">
        <w:rPr>
          <w:b/>
        </w:rPr>
        <w:t xml:space="preserve"> </w:t>
      </w:r>
    </w:p>
    <w:p w:rsidR="008C48E2" w:rsidRDefault="008C48E2">
      <w:pPr>
        <w:rPr>
          <w:b/>
        </w:rPr>
      </w:pPr>
      <w:r>
        <w:rPr>
          <w:b/>
        </w:rPr>
        <w:t>Dia 14</w:t>
      </w:r>
      <w:r>
        <w:rPr>
          <w:rStyle w:val="Voetnootmarkering"/>
          <w:b/>
        </w:rPr>
        <w:footnoteReference w:id="6"/>
      </w:r>
    </w:p>
    <w:p w:rsidR="00D90EC6" w:rsidRDefault="00D90EC6">
      <w:pPr>
        <w:rPr>
          <w:b/>
        </w:rPr>
      </w:pPr>
      <w:r>
        <w:rPr>
          <w:b/>
        </w:rPr>
        <w:t xml:space="preserve">Dia 17 </w:t>
      </w:r>
    </w:p>
    <w:p w:rsidR="00D90EC6" w:rsidRPr="00D90EC6" w:rsidRDefault="00D90EC6">
      <w:r w:rsidRPr="00D90EC6">
        <w:t>In de middeleeuwen, toen de internationale handel nog voornamelijk over land plaatsvond, handelden koopmannen veel op jaarmarkten – de markten in de Noord-Franse Champagneregio waren de grootste en bekendste. De aanwezigheid van koopmannen uit alle delen van Europa op</w:t>
      </w:r>
      <w:r>
        <w:rPr>
          <w:b/>
        </w:rPr>
        <w:t xml:space="preserve"> </w:t>
      </w:r>
      <w:r w:rsidRPr="00D90EC6">
        <w:t xml:space="preserve">één </w:t>
      </w:r>
      <w:r w:rsidRPr="00D90EC6">
        <w:lastRenderedPageBreak/>
        <w:t>plek maakten de markten zeer geschikt om internationale transacties te doen. Daarnaast bood de concentratie van handelaren de mogelijkheid om de betalingen die voor al die internationale overeenkomsten benodigd waren op een efficiënte manier te verrichten.</w:t>
      </w:r>
    </w:p>
    <w:p w:rsidR="00D90EC6" w:rsidRPr="00D90EC6" w:rsidRDefault="00D90EC6">
      <w:r w:rsidRPr="00D90EC6">
        <w:t>Stel dat er op zo’n jaarmarkt een Italiaanse koopman aanwezig was die een lading zout aan een Nederlander had geleverd. De Nederlandse koopman moest de Italiaan daarvoor betalen. Maar als diezelfde Nederlandse koopman toevallig een lading hout aan een Spaanse koopman had verkocht, was het eenvoudiger als de Spanjaar de Italiaan betaalde. Op deze manier werden alle uitstaande betalingen tijdens de jaarmarkt onderling verrekend. In werkelijkheid ging dit natuurlijk niet zo eenvoudig als in dit voorbeeld. Het zal heel wat hoofdbrekens gekost hebben om tot een efficiënte verrekening te komen, maar als dit lukte, hoefden de koopmannen nauwelijks met geldstukken heen en weer te schuiven.</w:t>
      </w:r>
      <w:r>
        <w:rPr>
          <w:rStyle w:val="Voetnootmarkering"/>
        </w:rPr>
        <w:footnoteReference w:id="7"/>
      </w:r>
    </w:p>
    <w:p w:rsidR="00751FE6" w:rsidRDefault="00A92C80">
      <w:pPr>
        <w:rPr>
          <w:b/>
        </w:rPr>
      </w:pPr>
      <w:r w:rsidRPr="00A92C80">
        <w:rPr>
          <w:b/>
        </w:rPr>
        <w:t>Dia 1</w:t>
      </w:r>
      <w:r>
        <w:rPr>
          <w:b/>
        </w:rPr>
        <w:t>9</w:t>
      </w:r>
      <w:r w:rsidRPr="00A92C80">
        <w:rPr>
          <w:rStyle w:val="Voetnootmarkering"/>
          <w:b/>
        </w:rPr>
        <w:footnoteReference w:id="8"/>
      </w:r>
    </w:p>
    <w:p w:rsidR="00A92C80" w:rsidRPr="00A92C80" w:rsidRDefault="00A92C80">
      <w:pPr>
        <w:rPr>
          <w:b/>
        </w:rPr>
      </w:pPr>
      <w:r>
        <w:rPr>
          <w:b/>
        </w:rPr>
        <w:t>Dia 20</w:t>
      </w:r>
      <w:r>
        <w:rPr>
          <w:rStyle w:val="Voetnootmarkering"/>
          <w:b/>
        </w:rPr>
        <w:footnoteReference w:id="9"/>
      </w:r>
    </w:p>
    <w:p w:rsidR="0093038E" w:rsidRPr="00667B67" w:rsidRDefault="0093038E"/>
    <w:sectPr w:rsidR="0093038E" w:rsidRPr="00667B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2FC" w:rsidRDefault="00B502FC" w:rsidP="00B63D8C">
      <w:pPr>
        <w:spacing w:after="0" w:line="240" w:lineRule="auto"/>
      </w:pPr>
      <w:r>
        <w:separator/>
      </w:r>
    </w:p>
  </w:endnote>
  <w:endnote w:type="continuationSeparator" w:id="0">
    <w:p w:rsidR="00B502FC" w:rsidRDefault="00B502FC" w:rsidP="00B6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2FC" w:rsidRDefault="00B502FC" w:rsidP="00B63D8C">
      <w:pPr>
        <w:spacing w:after="0" w:line="240" w:lineRule="auto"/>
      </w:pPr>
      <w:r>
        <w:separator/>
      </w:r>
    </w:p>
  </w:footnote>
  <w:footnote w:type="continuationSeparator" w:id="0">
    <w:p w:rsidR="00B502FC" w:rsidRDefault="00B502FC" w:rsidP="00B63D8C">
      <w:pPr>
        <w:spacing w:after="0" w:line="240" w:lineRule="auto"/>
      </w:pPr>
      <w:r>
        <w:continuationSeparator/>
      </w:r>
    </w:p>
  </w:footnote>
  <w:footnote w:id="1">
    <w:p w:rsidR="00B63D8C" w:rsidRPr="00B63D8C" w:rsidRDefault="00B63D8C">
      <w:pPr>
        <w:pStyle w:val="Voetnoottekst"/>
      </w:pPr>
      <w:r>
        <w:rPr>
          <w:rStyle w:val="Voetnootmarkering"/>
        </w:rPr>
        <w:footnoteRef/>
      </w:r>
      <w:r>
        <w:t xml:space="preserve"> Lodewijk Petram, </w:t>
      </w:r>
      <w:r>
        <w:rPr>
          <w:i/>
        </w:rPr>
        <w:t xml:space="preserve">De bakermat van de beurs. Hoe in zeventiende-eeuws Amsterdam de moderne aandelenhandel ontstond </w:t>
      </w:r>
      <w:r>
        <w:t xml:space="preserve">(Amsterdam 2011) 19. </w:t>
      </w:r>
    </w:p>
  </w:footnote>
  <w:footnote w:id="2">
    <w:p w:rsidR="00EE62C1" w:rsidRPr="00EE62C1" w:rsidRDefault="00EE62C1">
      <w:pPr>
        <w:pStyle w:val="Voetnoottekst"/>
      </w:pPr>
      <w:r>
        <w:rPr>
          <w:rStyle w:val="Voetnootmarkering"/>
        </w:rPr>
        <w:footnoteRef/>
      </w:r>
      <w:r>
        <w:t xml:space="preserve"> Petram, </w:t>
      </w:r>
      <w:r>
        <w:rPr>
          <w:i/>
        </w:rPr>
        <w:t>De bakermat</w:t>
      </w:r>
      <w:r>
        <w:t>, 24-25.</w:t>
      </w:r>
    </w:p>
  </w:footnote>
  <w:footnote w:id="3">
    <w:p w:rsidR="00EE62C1" w:rsidRDefault="00EE62C1">
      <w:pPr>
        <w:pStyle w:val="Voetnoottekst"/>
      </w:pPr>
      <w:r>
        <w:rPr>
          <w:rStyle w:val="Voetnootmarkering"/>
        </w:rPr>
        <w:footnoteRef/>
      </w:r>
      <w:r w:rsidR="00F64F47">
        <w:t xml:space="preserve"> Petra</w:t>
      </w:r>
      <w:r>
        <w:t>m, 36-47.</w:t>
      </w:r>
    </w:p>
  </w:footnote>
  <w:footnote w:id="4">
    <w:p w:rsidR="00F64F47" w:rsidRDefault="00F64F47">
      <w:pPr>
        <w:pStyle w:val="Voetnoottekst"/>
      </w:pPr>
      <w:r>
        <w:rPr>
          <w:rStyle w:val="Voetnootmarkering"/>
        </w:rPr>
        <w:footnoteRef/>
      </w:r>
      <w:r>
        <w:t xml:space="preserve"> Petram, 99-100.</w:t>
      </w:r>
    </w:p>
  </w:footnote>
  <w:footnote w:id="5">
    <w:p w:rsidR="00A92C80" w:rsidRDefault="00A92C80">
      <w:pPr>
        <w:pStyle w:val="Voetnoottekst"/>
      </w:pPr>
      <w:r>
        <w:rPr>
          <w:rStyle w:val="Voetnootmarkering"/>
        </w:rPr>
        <w:footnoteRef/>
      </w:r>
      <w:r>
        <w:t xml:space="preserve"> Petram, 38-42. </w:t>
      </w:r>
    </w:p>
  </w:footnote>
  <w:footnote w:id="6">
    <w:p w:rsidR="008C48E2" w:rsidRDefault="008C48E2">
      <w:pPr>
        <w:pStyle w:val="Voetnoottekst"/>
      </w:pPr>
      <w:r>
        <w:rPr>
          <w:rStyle w:val="Voetnootmarkering"/>
        </w:rPr>
        <w:footnoteRef/>
      </w:r>
      <w:r>
        <w:t xml:space="preserve"> Petram, 133-134. </w:t>
      </w:r>
    </w:p>
  </w:footnote>
  <w:footnote w:id="7">
    <w:p w:rsidR="00D90EC6" w:rsidRDefault="00D90EC6">
      <w:pPr>
        <w:pStyle w:val="Voetnoottekst"/>
      </w:pPr>
      <w:r>
        <w:rPr>
          <w:rStyle w:val="Voetnootmarkering"/>
        </w:rPr>
        <w:footnoteRef/>
      </w:r>
      <w:r>
        <w:t xml:space="preserve"> Petram, 159. </w:t>
      </w:r>
      <w:bookmarkStart w:id="0" w:name="_GoBack"/>
      <w:bookmarkEnd w:id="0"/>
    </w:p>
  </w:footnote>
  <w:footnote w:id="8">
    <w:p w:rsidR="00A92C80" w:rsidRDefault="00A92C80">
      <w:pPr>
        <w:pStyle w:val="Voetnoottekst"/>
      </w:pPr>
      <w:r>
        <w:rPr>
          <w:rStyle w:val="Voetnootmarkering"/>
        </w:rPr>
        <w:footnoteRef/>
      </w:r>
      <w:r>
        <w:t xml:space="preserve"> Petram, 55.</w:t>
      </w:r>
    </w:p>
  </w:footnote>
  <w:footnote w:id="9">
    <w:p w:rsidR="00A92C80" w:rsidRDefault="00A92C80">
      <w:pPr>
        <w:pStyle w:val="Voetnoottekst"/>
      </w:pPr>
      <w:r>
        <w:rPr>
          <w:rStyle w:val="Voetnootmarkering"/>
        </w:rPr>
        <w:footnoteRef/>
      </w:r>
      <w:r>
        <w:t xml:space="preserve"> Petram, 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8C"/>
    <w:rsid w:val="00104E75"/>
    <w:rsid w:val="0011047C"/>
    <w:rsid w:val="00667B67"/>
    <w:rsid w:val="00751FE6"/>
    <w:rsid w:val="00795AED"/>
    <w:rsid w:val="008C48E2"/>
    <w:rsid w:val="0093038E"/>
    <w:rsid w:val="00A92C80"/>
    <w:rsid w:val="00B502FC"/>
    <w:rsid w:val="00B63D8C"/>
    <w:rsid w:val="00C73A2F"/>
    <w:rsid w:val="00D90EC6"/>
    <w:rsid w:val="00EE62C1"/>
    <w:rsid w:val="00F64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29897-C1AF-4AF2-B49F-E283D2BC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63D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3D8C"/>
    <w:rPr>
      <w:sz w:val="20"/>
      <w:szCs w:val="20"/>
    </w:rPr>
  </w:style>
  <w:style w:type="character" w:styleId="Voetnootmarkering">
    <w:name w:val="footnote reference"/>
    <w:basedOn w:val="Standaardalinea-lettertype"/>
    <w:uiPriority w:val="99"/>
    <w:semiHidden/>
    <w:unhideWhenUsed/>
    <w:rsid w:val="00B63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FB71-44D1-42E9-9467-B5E8ABB2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493</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Kamminga</dc:creator>
  <cp:keywords/>
  <dc:description/>
  <cp:lastModifiedBy>Peter Kamminga</cp:lastModifiedBy>
  <cp:revision>9</cp:revision>
  <dcterms:created xsi:type="dcterms:W3CDTF">2017-02-27T07:43:00Z</dcterms:created>
  <dcterms:modified xsi:type="dcterms:W3CDTF">2017-02-27T13:42:00Z</dcterms:modified>
</cp:coreProperties>
</file>